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spacing w:after="0" w:before="0" w:lineRule="auto"/>
        <w:rPr>
          <w:b w:val="1"/>
          <w:color w:val="000000"/>
          <w:sz w:val="36"/>
          <w:szCs w:val="36"/>
        </w:rPr>
      </w:pPr>
      <w:bookmarkStart w:colFirst="0" w:colLast="0" w:name="_ilfozlr34siw" w:id="0"/>
      <w:bookmarkEnd w:id="0"/>
      <w:r w:rsidDel="00000000" w:rsidR="00000000" w:rsidRPr="00000000">
        <w:rPr>
          <w:rtl w:val="0"/>
        </w:rPr>
        <w:t xml:space="preserve">Open College of the Arts </w:t>
      </w: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Equality &amp; Diversity Action Plan 2018/19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In line with our commitments as outlined in the College Equality &amp; Diversity Policy, this Action Plan covers the range of activities the College is working towards in order to improve Equality &amp; Diversity in College life. Implementation of this Action Plan covers the academic year 2018/19 which runs August 2018 - July 2019.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10"/>
        <w:gridCol w:w="2490"/>
        <w:gridCol w:w="2910"/>
        <w:gridCol w:w="3240"/>
        <w:tblGridChange w:id="0">
          <w:tblGrid>
            <w:gridCol w:w="5310"/>
            <w:gridCol w:w="2490"/>
            <w:gridCol w:w="2910"/>
            <w:gridCol w:w="3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 to be undertaken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Implementation 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Review and revise information provided on OCA website and in print media for students with disabilities, including guidance on how to apply for Disabled Student Allowance.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Head of Student Services/Learner Support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February 2018 - July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Review and develop tutor recruitment profiles to ensure widespread job advertisements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Director of Learning &amp; Teaching/Head of Student Services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February 2018 - July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Consider best approach to advertising Equality &amp; Diversity duty to existing and new student base, potentially through e-learning guides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OCA staff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February 2018 - July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Conduct review of web-based and print-media to ensure compatibility with accessibility requirements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Head of Technology &amp; Media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February 2018 - July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Identify areas of tutor-base to encourage diversity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Director of Learning &amp; Teaching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February 2018 - July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Consider appropriate vehicles for enhancing BAME interest in underrepresented areas, and explore opportunities to improve access.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Head of Student Services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color w:val="ff000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